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33" w:rsidRPr="00F14A33" w:rsidRDefault="00F14A33" w:rsidP="00F14A33">
      <w:pPr>
        <w:spacing w:after="0" w:line="240" w:lineRule="atLeast"/>
        <w:textAlignment w:val="baseline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4" w:tooltip="Постоянная ссылка  Материалы гибких печатных плат и их оснований" w:history="1">
        <w:r w:rsidRPr="00F14A33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МАТЕРИАЛЫ ГИБКИХ ПЕЧАТНЫХ ПЛАТ И ИХ ОСНОВАНИЙ</w:t>
        </w:r>
      </w:hyperlink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(лекция)</w:t>
      </w:r>
    </w:p>
    <w:p w:rsidR="00F14A33" w:rsidRPr="00F14A33" w:rsidRDefault="00F14A33" w:rsidP="00F14A33">
      <w:pPr>
        <w:spacing w:after="30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4A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Характеристики материалов гибких печатных плат Основные параметры и физические свойства материала ГПП, которые обязательно следует принимать во внимание при его выборе: размерная стабильность; теплоустойчивость (пайка без разрушений и снижения гибкости); устойчивость к разрыву; приемлемые электрические </w:t>
      </w:r>
    </w:p>
    <w:p w:rsidR="00F14A33" w:rsidRPr="00F14A33" w:rsidRDefault="00F14A33" w:rsidP="00F14A33">
      <w:pPr>
        <w:spacing w:after="0" w:line="240" w:lineRule="atLeast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hyperlink r:id="rId5" w:tooltip="Постоянная ссылка  Классификация гибких печатных плат" w:history="1">
        <w:r w:rsidRPr="00F14A33">
          <w:rPr>
            <w:rFonts w:ascii="Times New Roman" w:eastAsia="Times New Roman" w:hAnsi="Times New Roman" w:cs="Times New Roman"/>
            <w:b/>
            <w:sz w:val="32"/>
            <w:szCs w:val="32"/>
            <w:lang w:eastAsia="ru-RU"/>
          </w:rPr>
          <w:t>Классификация гибких печатных плат</w:t>
        </w:r>
      </w:hyperlink>
    </w:p>
    <w:p w:rsidR="00F14A33" w:rsidRPr="00F14A33" w:rsidRDefault="00F14A33" w:rsidP="00F14A33">
      <w:pPr>
        <w:spacing w:after="30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4A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Преимущества гибких печатных плат Постоянно растущий спрос на гибкие схемы и, в особенности, на гибридные гибко-жесткие многослойные печатные платы (ГЖПП) обусловлен следующими факторами: Гибкие схемы дают возможность создавать уникальные конструкции, которые позволяют решать вопросы </w:t>
      </w:r>
    </w:p>
    <w:p w:rsidR="00F14A33" w:rsidRPr="00F14A33" w:rsidRDefault="00F14A33" w:rsidP="00F14A33">
      <w:pPr>
        <w:spacing w:after="0" w:line="240" w:lineRule="atLeast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hyperlink r:id="rId6" w:tooltip="Постоянная ссылка  Конструирование ГПП. Автоматизированная сборка" w:history="1">
        <w:r w:rsidRPr="00F14A33">
          <w:rPr>
            <w:rFonts w:ascii="Times New Roman" w:eastAsia="Times New Roman" w:hAnsi="Times New Roman" w:cs="Times New Roman"/>
            <w:b/>
            <w:sz w:val="32"/>
            <w:szCs w:val="32"/>
            <w:lang w:eastAsia="ru-RU"/>
          </w:rPr>
          <w:t>Конструирование ГПП. Автоматизированная сборка</w:t>
        </w:r>
      </w:hyperlink>
    </w:p>
    <w:p w:rsidR="00F14A33" w:rsidRPr="00F14A33" w:rsidRDefault="00F14A33" w:rsidP="00F14A33">
      <w:pPr>
        <w:spacing w:after="30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4A33">
        <w:rPr>
          <w:rFonts w:ascii="Times New Roman" w:eastAsia="Times New Roman" w:hAnsi="Times New Roman" w:cs="Times New Roman"/>
          <w:sz w:val="32"/>
          <w:szCs w:val="32"/>
          <w:lang w:eastAsia="ru-RU"/>
        </w:rPr>
        <w:t>Рекомендации по конструированию ГПП применительно к автоматизированной сборке: При проектировании печатной платы (ПП) необходимо руководствоваться требованиями российских стандартов по конструированию ПП (в частности, ГОСТ 23751) и стандартов Международной Электротехнической Комиссии (МЭК) по конструированию печатных плат …</w:t>
      </w:r>
    </w:p>
    <w:p w:rsidR="00F14A33" w:rsidRPr="00F14A33" w:rsidRDefault="00F14A33" w:rsidP="00F14A33">
      <w:pPr>
        <w:spacing w:after="0" w:line="240" w:lineRule="atLeast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hyperlink r:id="rId7" w:tooltip="Постоянная ссылка  Срочные МПП с импедансом" w:history="1">
        <w:r w:rsidRPr="00F14A33">
          <w:rPr>
            <w:rFonts w:ascii="Times New Roman" w:eastAsia="Times New Roman" w:hAnsi="Times New Roman" w:cs="Times New Roman"/>
            <w:b/>
            <w:sz w:val="32"/>
            <w:szCs w:val="32"/>
            <w:lang w:eastAsia="ru-RU"/>
          </w:rPr>
          <w:t>Срочные МПП с импедансом</w:t>
        </w:r>
      </w:hyperlink>
    </w:p>
    <w:p w:rsidR="00F14A33" w:rsidRPr="00F14A33" w:rsidRDefault="00F14A33" w:rsidP="00F14A33">
      <w:pPr>
        <w:spacing w:after="30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4A33">
        <w:rPr>
          <w:rFonts w:ascii="Times New Roman" w:eastAsia="Times New Roman" w:hAnsi="Times New Roman" w:cs="Times New Roman"/>
          <w:sz w:val="32"/>
          <w:szCs w:val="32"/>
          <w:lang w:eastAsia="ru-RU"/>
        </w:rPr>
        <w:t>В структуре слоев надо использовать только: коры —  0.10    0.15    0.20    0.30    0.36    0.46    0.51    0.71    1.08    1.20 мм препреги — 0.063 (1080)    0.110 (2116) …</w:t>
      </w:r>
    </w:p>
    <w:p w:rsidR="00F14A33" w:rsidRPr="00F14A33" w:rsidRDefault="00F14A33" w:rsidP="00F14A33">
      <w:pPr>
        <w:spacing w:after="0" w:line="240" w:lineRule="atLeast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hyperlink r:id="rId8" w:tooltip="Постоянная ссылка  Печатные платы для светодиодов" w:history="1">
        <w:r w:rsidRPr="00F14A33">
          <w:rPr>
            <w:rFonts w:ascii="Times New Roman" w:eastAsia="Times New Roman" w:hAnsi="Times New Roman" w:cs="Times New Roman"/>
            <w:b/>
            <w:sz w:val="32"/>
            <w:szCs w:val="32"/>
            <w:lang w:eastAsia="ru-RU"/>
          </w:rPr>
          <w:t>Печатные платы для светодиодов</w:t>
        </w:r>
      </w:hyperlink>
    </w:p>
    <w:p w:rsidR="00F14A33" w:rsidRPr="00F14A33" w:rsidRDefault="00F14A33" w:rsidP="00F14A33">
      <w:pPr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14A33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Основные преимущества светодиодов по сравнению с обычными источниками света в длительном сроке эксплуатации – они служат в десятки раз дольше, и в большей эффективности — при аналогичной яркости светодиодные светильники потребляют в 3-5 раз меньше …</w:t>
      </w:r>
    </w:p>
    <w:p w:rsidR="00F14A33" w:rsidRPr="00F14A33" w:rsidRDefault="00F14A33" w:rsidP="00F14A33">
      <w:pPr>
        <w:spacing w:after="0" w:line="240" w:lineRule="atLeast"/>
        <w:textAlignment w:val="baseline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9" w:tooltip="Постоянная ссылка  Печатные платы на металлическом основании" w:history="1">
        <w:r w:rsidRPr="00F14A33">
          <w:rPr>
            <w:rFonts w:ascii="Times New Roman" w:eastAsia="Times New Roman" w:hAnsi="Times New Roman" w:cs="Times New Roman"/>
            <w:b/>
            <w:sz w:val="32"/>
            <w:szCs w:val="32"/>
            <w:lang w:eastAsia="ru-RU"/>
          </w:rPr>
          <w:t>Печатные платы на металлическом основании</w:t>
        </w:r>
      </w:hyperlink>
    </w:p>
    <w:p w:rsidR="00F14A33" w:rsidRPr="00F14A33" w:rsidRDefault="00F14A33" w:rsidP="00F14A33">
      <w:pPr>
        <w:spacing w:after="30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4A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Платы на металлической основе применяются в первую очередь для изделий, в которых необходимо рассеивать большую тепловую мощность: для устройств с мощными SMD светодиодами, в </w:t>
      </w:r>
      <w:r w:rsidRPr="00F14A3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твердотельных реле, источниках питания, в схемах управления двигателями. В зарубежной литературе для …</w:t>
      </w:r>
    </w:p>
    <w:p w:rsidR="00F14A33" w:rsidRPr="00F14A33" w:rsidRDefault="00F14A33" w:rsidP="00F14A33">
      <w:pPr>
        <w:spacing w:after="0" w:line="240" w:lineRule="atLeast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hyperlink r:id="rId10" w:tooltip="Постоянная ссылка  О надежности HDI плат" w:history="1">
        <w:r w:rsidRPr="00F14A33">
          <w:rPr>
            <w:rFonts w:ascii="Times New Roman" w:eastAsia="Times New Roman" w:hAnsi="Times New Roman" w:cs="Times New Roman"/>
            <w:b/>
            <w:sz w:val="32"/>
            <w:szCs w:val="32"/>
            <w:lang w:eastAsia="ru-RU"/>
          </w:rPr>
          <w:t>О надежности HDI плат</w:t>
        </w:r>
      </w:hyperlink>
    </w:p>
    <w:p w:rsidR="00F14A33" w:rsidRPr="00F14A33" w:rsidRDefault="00F14A33" w:rsidP="00F14A33">
      <w:pPr>
        <w:spacing w:after="30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4A33">
        <w:rPr>
          <w:rFonts w:ascii="Times New Roman" w:eastAsia="Times New Roman" w:hAnsi="Times New Roman" w:cs="Times New Roman"/>
          <w:sz w:val="32"/>
          <w:szCs w:val="32"/>
          <w:lang w:eastAsia="ru-RU"/>
        </w:rPr>
        <w:t>Высокотехнологичные HDI платы включают в себя несколько слоёв с расположенными друг над другом металлизированных медью микроотверстий, которые формируют сложную структуру. Эти комплексные структуры обеспечивают необходимые решения по трассировке для современных микросхем с большим количеством выводов, …</w:t>
      </w:r>
    </w:p>
    <w:p w:rsidR="00F14A33" w:rsidRPr="00F14A33" w:rsidRDefault="00F14A33" w:rsidP="00F14A33">
      <w:pPr>
        <w:spacing w:after="0" w:line="240" w:lineRule="atLeast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hyperlink r:id="rId11" w:tooltip="Постоянная ссылка  Гибкие и гибко-жесткие печатные платы" w:history="1">
        <w:r w:rsidRPr="00F14A33">
          <w:rPr>
            <w:rFonts w:ascii="Times New Roman" w:eastAsia="Times New Roman" w:hAnsi="Times New Roman" w:cs="Times New Roman"/>
            <w:b/>
            <w:sz w:val="32"/>
            <w:szCs w:val="32"/>
            <w:lang w:eastAsia="ru-RU"/>
          </w:rPr>
          <w:t>Гибкие и гибко-жесткие печатные платы</w:t>
        </w:r>
      </w:hyperlink>
    </w:p>
    <w:p w:rsidR="00F14A33" w:rsidRPr="00F14A33" w:rsidRDefault="00F14A33" w:rsidP="00F14A33">
      <w:pPr>
        <w:spacing w:after="30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4A3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Преимущество гибких технологий — это не только уменьшение конечного веса и габаритов готового изделия, не только более простой монтаж и надежность соединений, но и что самое важное — динамическая гибкость, позволяющая различным частям изделий перемещаться …</w:t>
      </w:r>
    </w:p>
    <w:p w:rsid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СБОРКА И МОНТАЖ УЗЛОВ И БЛОКОВ РЭА НА ПЕЧАТНЫХ ПЛАТАХ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(</w:t>
      </w:r>
      <w:r w:rsidRPr="0024571C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Лекция)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Печатный монтаж позволяет успешно решать задачу механизации и автоматизации изготовления монтажных и переходных отверстий, а также осуществлять групповые методы пайки выводов и установленных на платах электрорадиоэлементов.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На радиотехнических предприятиях в зависимости от оснащенности производства применяют различные типовые технологические процессы сборки и монтажа узлов и блоков радиоаппаратуры на печатных платах: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пооперационную сборку с ручной установкой деталей на печатную плату и индивидуальной пайкой;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пооперационную сборку с частичной механизацией операций заготовки радиодеталей;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комплексную механизированную подготовку и вставку выводов деталей в печатную плату и групповую пайку;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полную автоматизацию всех процессов сборки, монтажа, пайки и контроля. Этот типовой процесс сборки и монтажа радиоаппаратуры является наиболее прогрессивным и используется при массовом производстве. Подготовка деталей к монтажу ведется на специализированном участке.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Последовательность типовых технологических процессов сборки и</w:t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монтажа узлов и блоков радиоаппаратуры показана на рис. 11.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Для индивидуального производства подготовку проводов ведут пооперационно (рихтовка, обрезка по длине, гибка и лужение выводов). При массовом производстве радиоаппаратуры на поточных линиях сборки и монтажа подготовка элементов совмещается с их установкой на печатных платах. Выводы вставляют в отверстие платы и для большей прочности подгибают, а затем соединяют с печатным проводником пайкой. На рис. 12 показаны различные способы крепления навесных радиодеталей (резисторов и конденсаторов) на платах 1 с печатными проводниками 2. На рис. 12, а, б изображен односторонний монтаж (под корпусом нет печатных проводников), а на рис. 12, в, г — двусторонний (под корпусом детали проходит печатный проводник.</w:t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143500" cy="2194560"/>
            <wp:effectExtent l="19050" t="0" r="0" b="0"/>
            <wp:docPr id="1" name="Рисунок 1" descr="https://sinref.ru/000_uchebniki/04600radio/008_regulirovshik_radioaparaturi_gorodilin/000/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nref.ru/000_uchebniki/04600radio/008_regulirovshik_radioaparaturi_gorodilin/000/01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Рис. 11. Схема последовательности типовых технологических процессов сборки и монтажа узлов и блоков РЭА на печатных платах</w:t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lastRenderedPageBreak/>
        <w:drawing>
          <wp:inline distT="0" distB="0" distL="0" distR="0">
            <wp:extent cx="4766310" cy="3406140"/>
            <wp:effectExtent l="19050" t="0" r="0" b="0"/>
            <wp:docPr id="2" name="Рисунок 2" descr="https://sinref.ru/000_uchebniki/04600radio/008_regulirovshik_radioaparaturi_gorodilin/000/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inref.ru/000_uchebniki/04600radio/008_regulirovshik_radioaparaturi_gorodilin/000/01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310" cy="340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Рис 12. Способы крепления иавесных радиодеталей на печатных платах. а, б — односторонний монтаж, в, г — двусторонний монтаж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 </w:t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Специальные детали (реле, разъемы и др.) устанавливают на плату и закрепляют держателями, предотвращающими поломку их выводов при механических нагрузках. Детали значительной массы и больших габаритов (например, силовые трансформаторы, радиаторы мощных полупроводниковых диодов, громкоговорители) размещают вне платы и присоединяют к ней жгутами из монтажного провода со специальными разъемами.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Заземление выполняют перемычками из мягкого монтажного провода и лепестками, впаянными в монтажные отверстия печатной платы. Непосредственный контакт печатного проводника с корпусом или шасси не разрешается. Переход с одной платы на другую осуществляется через переходные элементы (перемычки, разъемы, переходные колодки), устанавливаемые на платах так же, как и навесные радиодетали.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Устанавливать и закреплять навесные радиодетали на печатных платах можно полностью на автоматических линиях. Из-за 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сложности установки и настройки автоматических линий их целесообразно применять только в крупносерийном и массовом производстве. Основным оборудованием механизированной и автоматизированной сборки и монтажа являются транспортеры и агре-гативные устройства со специальными установочными головками.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Для повышения надежности печатных плат при работе РЭА в</w:t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тяжелых климатических условиях на основание платы печатного монтажа наносят защитные покрытия. Основная цель покрытия—предотвратить возникновение на плате продуктов коррозии, способных проводить ток. При выборе покрытия необходимо учитывать его эластичность, сопротивление к растрескиванию при резком изменении температуры (термическом ударе). Покрытие должно быть оптически прозрачно, чтобы можно было прочитать маркировку на радиодеталях и платах, а также легко отремонтировать платы печатного монтажа.</w:t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24571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 качестве материалов для защитных покрытий применяют электроизоляционные лаки. Для аппаратуры, работающей в тропических, условиях, в качестве защитного покрытия используют эпоксидные лаки и компаунды. Покрытия на основе кремнийор-ганических смол применяют для аппаратуры, работающей при высоких температурах.</w:t>
      </w:r>
      <w:r w:rsidRPr="00245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4571C" w:rsidRPr="0024571C" w:rsidRDefault="0024571C" w:rsidP="00245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45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1699D" w:rsidRDefault="0024571C">
      <w:r>
        <w:t xml:space="preserve"> </w:t>
      </w:r>
    </w:p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compat/>
  <w:rsids>
    <w:rsidRoot w:val="0024571C"/>
    <w:rsid w:val="0024571C"/>
    <w:rsid w:val="004D19B9"/>
    <w:rsid w:val="005011E0"/>
    <w:rsid w:val="00D72262"/>
    <w:rsid w:val="00E1699D"/>
    <w:rsid w:val="00F1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2">
    <w:name w:val="heading 2"/>
    <w:basedOn w:val="a"/>
    <w:link w:val="20"/>
    <w:uiPriority w:val="9"/>
    <w:qFormat/>
    <w:rsid w:val="00F14A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7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4A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F14A3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14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6482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2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1280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45842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754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0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35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0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86207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683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pco.ru/pcb-types/pechatnye-platy-dlya-svetodiodov.html" TargetMode="External"/><Relationship Id="rId13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sepco.ru/pcb-types/srochnye-mpp-s-impedansom.html" TargetMode="External"/><Relationship Id="rId12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pco.ru/new-technology/konstruirovanie-gibkih-pechatnyh-plat-avtomatizirovannaya-sborka.html" TargetMode="External"/><Relationship Id="rId11" Type="http://schemas.openxmlformats.org/officeDocument/2006/relationships/hyperlink" Target="http://sepco.ru/pcb-types/gibkie-platy.html" TargetMode="External"/><Relationship Id="rId5" Type="http://schemas.openxmlformats.org/officeDocument/2006/relationships/hyperlink" Target="http://sepco.ru/pcb-quality/klassifikatsiya-gibkih-pechatnyh-plat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sepco.ru/pcb-types/hdi-pechatnye-platy.html" TargetMode="External"/><Relationship Id="rId4" Type="http://schemas.openxmlformats.org/officeDocument/2006/relationships/hyperlink" Target="http://sepco.ru/pcb-materials/materialy-gibkih-pechatnyh-plat-i-ih-osnovanij.html" TargetMode="External"/><Relationship Id="rId9" Type="http://schemas.openxmlformats.org/officeDocument/2006/relationships/hyperlink" Target="http://sepco.ru/pcb-types/pechatnye-platy-na-metallicheskom-osnovanii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1172</Words>
  <Characters>6687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2020-04-03T06:20:00Z</dcterms:created>
  <dcterms:modified xsi:type="dcterms:W3CDTF">2020-04-03T06:37:00Z</dcterms:modified>
</cp:coreProperties>
</file>